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aa1e715817264a07"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28151</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OPĆINA PETERANEC</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22</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1.640.459,89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2.641.463,90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1.323.260,55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1.369.933,68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317.199,34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1.271.530,22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400,9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14.601,00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2.575,00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727.334,83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2.653.936,12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364,9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712.733,83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2.651.361,12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372,0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14.901,69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744.706,76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4997,5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18.632,52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322,0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PRIMITAKA OD FINANCIJSKE IMOVINE I ZADUŽIVANJA (šifre 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684.706,76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399.265,32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695.124,14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174,1</w:t>
            </w:r>
          </w:p>
        </w:tc>
      </w:tr>
    </w:tbl>
    <w:p>
      <w:pPr>
        <w:spacing w:before="0" w:after="0"/>
      </w:pPr>
    </w:p>
    <w:p>
      <w:pPr>
        <w:jc w:val="both"/>
      </w:pPr>
      <w:r>
        <w:t xml:space="preserve">Na temelju financijskog izvještaja o izvršenju proračuna – obrazac PR-RAS – za izvještajno razdoblje, prikazan je rezultat poslovanja općine prema kategorijama prihoda, rashoda, primitaka i izdataka. U promatranom razdoblju općina je ostvarila: Ukupne prihode poslovanja u iznosu od 2.641.463,90 eura, dok su rashodi poslovanja iznosili 1.369.933,68 eura. Ostvaren je višak prihoda poslovanja u iznosu od 1.271.530,22 eura, što upućuje na stabilno i racionalno upravljanje redovnim prihodima i rashodima općine. S druge strane, općina je uložila značajna sredstva u kapitalne projekte. Ukupni rashodi za nabavu nefinancijske imovine iznosili su 2.653.936,12 eura jer je Općina provela velike kapitalne projekte izgradnje biciklističko-pješačkih staza, izgradnje Kulturnog centa, teniskog terena, dok su prihodi od prodaje nefinancijske imovine bili skromni – samo 2.575,00 eura. Zbog toga je ostvaren manjak u ovoj kategoriji u iznosu od 2.651.361,12 eura. Ukupni primici od financijske imovine i zaduživanja iznose 744.706,76 eura, jer je za već navedene kapitalne projekte bilo neophodno uzeti kratkoročni zajam kako bi se premostila razlika između uplate kapitalnih pomoći za navedene projekte i plaćanja izvođača. Ukupni izdaci za isti taj kratkoročni zajam iznosi 60.000,00 eura. Kao rezultat navedenog, u izvještajnom razdoblju iskazan je ukupni manjak prihoda i primitaka u iznosu od 965.124,14 eura. Važno je naglasiti da se ovaj manjak prvenstveno odnosi na intenzivna kapitalna ulaganja te se pokriva iz prenesenog viška sredstava iz prethodnih godina i primitaka od kratkoročnog zaduživanja. Redovno poslovanje općine bilo je pozitivno i uravnoteženo, što je dobar pokazatelj fiskalne odgovornosti.</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1.640.459,89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2.641.463,90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161,0</w:t>
            </w:r>
          </w:p>
        </w:tc>
      </w:tr>
    </w:tbl>
    <w:p>
      <w:pPr>
        <w:spacing w:before="0" w:after="0"/>
      </w:pPr>
    </w:p>
    <w:p>
      <w:r>
        <w:t xml:space="preserve">Iz Obrasca PR-RAS vidljivo je kako su prihodi poslovanja ostvareni 161,0  u odnosu na ostvareno u izvještajnom razdoblju prethodne godine, a razlog tomu su ostvarene velike kapitalne pomoći u ovoj godini.</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 na dohodak (šifre 6111 do 6116 - 6117 - 6119)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593.514,74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696.881,74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117,4</w:t>
            </w:r>
          </w:p>
        </w:tc>
      </w:tr>
    </w:tbl>
    <w:p>
      <w:pPr>
        <w:spacing w:before="0" w:after="0"/>
      </w:pPr>
    </w:p>
    <w:p>
      <w:r>
        <w:t xml:space="preserve">Šifra 611 Porez i prirez na dohodak je u odnosu na razdoblje prethodne godine sa indeksom ostvarenja od 117,4 viši, jer je uplaćeno više poreza i prireza na dohodak, a kao rezultat više uplate poreza i prihoda na dohodak je povećanje i rast plaća na nicou države.</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Stalni porezi na nepokretnu imovinu (zemlju, zgrade, kuće i ostalo)</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1.441,72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749,5</w:t>
            </w:r>
          </w:p>
        </w:tc>
      </w:tr>
    </w:tbl>
    <w:p>
      <w:pPr>
        <w:spacing w:before="0" w:after="0"/>
      </w:pPr>
    </w:p>
    <w:p>
      <w:r>
        <w:t xml:space="preserve">Stalni porezi na nepokretnu imovinu imaju indeks ostvarenja 749,5 i odnosi se na Porez nanekretnina koji je uveden 2025. godine za sve koji posjeduju 2 nekretninu, a kako su Rješenje krenula od rujna tako je i očekivano da su uplate izvršene do kraja godine.</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 inozemstva i od subjekata unutar općeg proračuna (šifre 631+632+633+634+635+636+637+638+639)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785.252,69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1.615.305,37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205,7</w:t>
            </w:r>
          </w:p>
        </w:tc>
      </w:tr>
    </w:tbl>
    <w:p>
      <w:pPr>
        <w:spacing w:before="0" w:after="0"/>
      </w:pPr>
    </w:p>
    <w:p>
      <w:r>
        <w:t xml:space="preserve">Pomoći iz inozemstva i od subjekata unutar općeg proračuna na šifri 63 ostvareno je u  znatno većem prihodu s indeksom ostvarenja 205,7  jer ja na šifri 6332 Kapitalne pomoći proračunu iz drugih proračuna  i izvanproračunskih korisnika ostvareno znatno više sredstava koje se odnose na uplate kapitalne pomoći Ministarstva turizma i sporta za kapitalni projekt izgradnje teniskog igrališta ta sredstva MRRIFEU za projekt Aglomeracija koje se odnosi na vlastito učešće i na šifri 6382 Kapitalne pomoći temeljem prijenosa EU sredstava za kapitalni projekt Izgradnja biciklističko-pješačke staze u Sigecu u ul. I. Berute i B. Radić.</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koncesije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128.706,52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203.500,36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158,1</w:t>
            </w:r>
          </w:p>
        </w:tc>
      </w:tr>
    </w:tbl>
    <w:p>
      <w:pPr>
        <w:spacing w:before="0" w:after="0"/>
      </w:pPr>
    </w:p>
    <w:p>
      <w:r>
        <w:t xml:space="preserve">Na šifri 6421 Naknade za koncesije indeks ostvarenja je u odnosu na prošlu godinu 158,1 jer se vrši obračun naknada za otkopanu količinu mineralnih sirovina po novom Zakonu što se odnosi na namjenski dio naknade te je automatski veći dio uplate u Proračun.</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Naknada za korištenje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12.390,68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6.301,40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50,9</w:t>
            </w:r>
          </w:p>
        </w:tc>
      </w:tr>
    </w:tbl>
    <w:p>
      <w:pPr>
        <w:spacing w:before="0" w:after="0"/>
      </w:pPr>
    </w:p>
    <w:p>
      <w:r>
        <w:t xml:space="preserve">Na stavci 6423 – Naknada za korištenje nefinancijske imovine ostvaren je indeks od 50,9 u odnosu na isto razdoblje prethodne godine. Smanjenje prihoda posljedica je  prekida pojedinih ugovornih obveza koje smo ranije imali.</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 posebnim propisima (šifre 6521 do 6528)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21.658,56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18.715,47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86,4</w:t>
            </w:r>
          </w:p>
        </w:tc>
      </w:tr>
    </w:tbl>
    <w:p>
      <w:pPr>
        <w:spacing w:before="0" w:after="0"/>
      </w:pPr>
    </w:p>
    <w:p>
      <w:r>
        <w:t xml:space="preserve">Prihodi po posebnim propisima imaju indeks ostvarenja 35,8 što se najviše odnosi na razliku u plati Prihodi od vodnog gospodarstva na šifri 6522.</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za šume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757,42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1.594,50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210,5</w:t>
            </w:r>
          </w:p>
        </w:tc>
      </w:tr>
    </w:tbl>
    <w:p>
      <w:pPr>
        <w:spacing w:before="0" w:after="0"/>
      </w:pPr>
    </w:p>
    <w:p>
      <w:r>
        <w:t xml:space="preserve">Doprinosi za šume ostvareni su s indeksom ostvarenja 210,5 iz razloga što je na području općine Šumarija dala suglasnost na veću količinu rušenja stabala.</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Kazne, upravne mjere i ostali prihodi (šifre 681+683)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935,51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272,6</w:t>
            </w:r>
          </w:p>
        </w:tc>
      </w:tr>
    </w:tbl>
    <w:p>
      <w:pPr>
        <w:spacing w:before="0" w:after="0"/>
      </w:pPr>
    </w:p>
    <w:p>
      <w:r>
        <w:t xml:space="preserve">Kazne i upravne mjere ostvarene su 272,6 jer je komunalno redarstvo izdalo i naplatilo više kazna po prekršajnim postupcima što se najviše odnosi na bacanje komunalnog otpada na javnim površinama.</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redovan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138.330,54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164.468,18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118,9</w:t>
            </w:r>
          </w:p>
        </w:tc>
      </w:tr>
    </w:tbl>
    <w:p>
      <w:pPr>
        <w:spacing w:before="0" w:after="0"/>
      </w:pPr>
    </w:p>
    <w:p>
      <w:r>
        <w:t xml:space="preserve">Plaće za redovan rad na šifri 3111 imaju veće odstupanje u odnosu na prošlu godinu s indeksom ostvarenja 118,9 jer je na kraju 2024. godini donesena nova osnovica za obračun plaća zaposlenih te općinskog načelnika te je zaposleni vježbenik u JUO.</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Materijalni rashodi (šifre 321+322+323+324+325+329)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296.981,56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440.556,14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148,3</w:t>
            </w:r>
          </w:p>
        </w:tc>
      </w:tr>
    </w:tbl>
    <w:p>
      <w:pPr>
        <w:spacing w:before="0" w:after="0"/>
      </w:pPr>
    </w:p>
    <w:p>
      <w:r>
        <w:t xml:space="preserve">Materijalni rashodi na šifri 32 ostvareni su s indeksom ostvarenja 148,3 a odnosi se na povećanje rashoda za materijal i energiju i rashodi za uslugu.</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putovanja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1.768,75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972,44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55,0</w:t>
            </w:r>
          </w:p>
        </w:tc>
      </w:tr>
    </w:tbl>
    <w:p>
      <w:pPr>
        <w:spacing w:before="0" w:after="0"/>
      </w:pPr>
    </w:p>
    <w:p>
      <w:r>
        <w:t xml:space="preserve">Za službena putovanja i stručno osposobljavanje zaposlenika utrošeno je znatnije manje sredstva jer cu većinom zaposlenici koristili mogućnost webinara kao edukacija pa nije niti postojala potreba za službenim putovanjima.</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Energija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23.874,50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32.833,22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137,5</w:t>
            </w:r>
          </w:p>
        </w:tc>
      </w:tr>
    </w:tbl>
    <w:p>
      <w:pPr>
        <w:spacing w:before="0" w:after="0"/>
      </w:pPr>
    </w:p>
    <w:p>
      <w:r>
        <w:t xml:space="preserve">Energija na šifri 3223 ima indeks ostvarenja 137,5 zbog stalnog porasta cijena energenata na tržištu.</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radna i zaštitna odjeća i obuća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690,50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22,9</w:t>
            </w:r>
          </w:p>
        </w:tc>
      </w:tr>
    </w:tbl>
    <w:p>
      <w:pPr>
        <w:spacing w:before="0" w:after="0"/>
      </w:pPr>
    </w:p>
    <w:p>
      <w:r>
        <w:t xml:space="preserve">Službena radna i zaštitna odjeća i obuća  bilježi pad indeksa ostvarenja 22,9 jer je početkom godine kupljena zaštitna oprema samo za novu djelatnicu na održavanju.</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usluge (šifre 3231 do 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207.259,71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309.467,19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149,3</w:t>
            </w:r>
          </w:p>
        </w:tc>
      </w:tr>
    </w:tbl>
    <w:p>
      <w:pPr>
        <w:spacing w:before="0" w:after="0"/>
      </w:pPr>
    </w:p>
    <w:p>
      <w:r>
        <w:t xml:space="preserve">Na stavci 323 – Rashodi za usluge ostvaren je indeks od 149,3 u odnosu na isto razdoblje prethodne godine. Povećanje rashoda rezultat je većeg obujma realiziranih usluga u izvještajnom razdoblju, posebice u dijelu Usluge promidžbe i informiranja, komunalne usluge, intelektualne i osobne usluge. Dodatno, na povećanje je utjecao rast cijena usluga na tržištu, kao i provedba planiranih aktivnosti i projekata koji u istom razdoblju prethodne godine nisu bili realizirani.</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22.570,66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39.687,58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175,8</w:t>
            </w:r>
          </w:p>
        </w:tc>
      </w:tr>
    </w:tbl>
    <w:p>
      <w:pPr>
        <w:spacing w:before="0" w:after="0"/>
      </w:pPr>
    </w:p>
    <w:p>
      <w:r>
        <w:t xml:space="preserve">Komunalne usluge imaju indeks ostvarenje 175,8 jer kroz 2025. godinu nije bio zaposlen komunalni radnik na održavanju zelenih površina te je Općiuna koristila Usluge komunalnog poduzeća koje je to odrađivalo kroz ugovor.</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30.575,49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76.899,67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251,5</w:t>
            </w:r>
          </w:p>
        </w:tc>
      </w:tr>
    </w:tbl>
    <w:p>
      <w:pPr>
        <w:spacing w:before="0" w:after="0"/>
      </w:pPr>
    </w:p>
    <w:p>
      <w:r>
        <w:t xml:space="preserve">Početkom godine Pročelnik i Komunalni redar dali su otkaz u Općini pa su stoga prije stalnog zapošljavanja i raspisivanja Javnih natječaja  zaposlene osobe na Ugovor o djelu kako bi se premostila razlika manjka zaposlenih.</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17.123,61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37.092,25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216,6</w:t>
            </w:r>
          </w:p>
        </w:tc>
      </w:tr>
    </w:tbl>
    <w:p>
      <w:pPr>
        <w:spacing w:before="0" w:after="0"/>
      </w:pPr>
    </w:p>
    <w:p>
      <w:r>
        <w:t xml:space="preserve">Na stavci 3239 – Ostale usluge ostvaren je indeks od 216,6 u odnosu na isto razdoblje prethodne godine. Značajno povećanje rashoda rezultat je realizacije dodatnih usluga u izvještajnom razdoblju koje u istom razdoblju prethodne godine nisu bile ugovorene ili provedene. Povećanje se odnosi na usluge vezane uz druge jednokratne aktivnosti, što je utjecalo na viši stupanj izvršenja u odnosu na prethodnu godinu. Neki od razloga su grafičke i tiskarske usluge za godišnji list Općine, sufinanciranje priključka na svjetlovodnu mrežu koji prethodnih godina Općina nije provodila.</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rad predstavničkih i izvršnih tijela, povjerenstava i slično</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1.123,57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22.005,86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1958,6</w:t>
            </w:r>
          </w:p>
        </w:tc>
      </w:tr>
    </w:tbl>
    <w:p>
      <w:pPr>
        <w:spacing w:before="0" w:after="0"/>
      </w:pPr>
    </w:p>
    <w:p>
      <w:r>
        <w:t xml:space="preserve">Na naknade za rad predstavničkih i izvršnih tijela, povjerenstava i slično povećanje indeksa 3834 odnosi se na isplate naknada Biračkim odborima i Općinskom izbornom povjerenstvu za održavanje Lokalnih izbora, a sve sukladno planiranom za 2025. godinu.</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3.503,07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21.827,22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623,1</w:t>
            </w:r>
          </w:p>
        </w:tc>
      </w:tr>
    </w:tbl>
    <w:p>
      <w:pPr>
        <w:spacing w:before="0" w:after="0"/>
      </w:pPr>
    </w:p>
    <w:p>
      <w:r>
        <w:t xml:space="preserve">Na šifri 3299 Ostali nespomenuti rashodi poslovanja bilježe veći indeks ostvarenja 623,1 jer su u 2025. godini izvršeni povrati jamstva iz 2024. godine, te povrati APPRRR-u za projekt izgradnje Kulturnog centra.</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Financijski rashodi (šifre 341+342+343)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3.566,12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12.979,27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364,0</w:t>
            </w:r>
          </w:p>
        </w:tc>
      </w:tr>
    </w:tbl>
    <w:p>
      <w:pPr>
        <w:spacing w:before="0" w:after="0"/>
      </w:pPr>
    </w:p>
    <w:p>
      <w:r>
        <w:t xml:space="preserve">Povećanje u odnosu na prethodnu godinu  se odnosi  na troška obrade kratkoročnog zajma te kamata po istom.</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Subvencije kreditnim i financijskim institucijama, trgovačkim društvima, zadrugama, poljoprivrednicima i obrtnicima izvan javnog sektora (šifre 3521 do 3523)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22.531,40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8.636,59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38,3</w:t>
            </w:r>
          </w:p>
        </w:tc>
      </w:tr>
    </w:tbl>
    <w:p>
      <w:pPr>
        <w:spacing w:before="0" w:after="0"/>
      </w:pPr>
    </w:p>
    <w:p>
      <w:r>
        <w:t xml:space="preserve">Subvencije na šifri 352 s indeksom ostvarenja38,3 u odnosu na prošlu godinu odnose na na subvencije poljoprivrednicima ,te na Subvencije obrtnicima koji su ove godine podnesli puno manje zahtjeva nego prethodne.</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1.573,00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1263,5</w:t>
            </w:r>
          </w:p>
        </w:tc>
      </w:tr>
    </w:tbl>
    <w:p>
      <w:pPr>
        <w:spacing w:before="0" w:after="0"/>
      </w:pPr>
    </w:p>
    <w:p>
      <w:r>
        <w:t xml:space="preserve">Općina je od 2025. Ugovorila s Knjižnicom i Čitaonicom Fran Galović sufinanciranje članarine i Bibliobusa za sve mještane Općine.</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na temelju osiguranja i druge naknade (šifre 371+372)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380.497,13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486.639,17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127,9</w:t>
            </w:r>
          </w:p>
        </w:tc>
      </w:tr>
    </w:tbl>
    <w:p>
      <w:pPr>
        <w:spacing w:before="0" w:after="0"/>
      </w:pPr>
    </w:p>
    <w:p>
      <w:r>
        <w:t xml:space="preserve">Naknade građanima i kućanstvima na temelju osiguranja i druge naknade bilježe rast indeksa 127,9 ali sve u skladu s planiranim isplatama naknada za 2025. godinu, a najviše se odnosi na Naknade građanima i kućanstvima u novcu.</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u novcu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362.208,47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469.332,75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129,6</w:t>
            </w:r>
          </w:p>
        </w:tc>
      </w:tr>
    </w:tbl>
    <w:p>
      <w:pPr>
        <w:spacing w:before="0" w:after="0"/>
      </w:pPr>
    </w:p>
    <w:p>
      <w:r>
        <w:t xml:space="preserve">Naknade građanima i kućanstvima u novcu šifra 3721 sa indeksom ostvarenja 143,2 povećava se jer su isplaćene veće pomoći građanima i kućanstvima nego u 2024. godini za isto razdoblje, a sve u skladu sa planom i potrebama. Neki od  razloga su ti da je bilo puno više podnesenih i dodijeljenih sredstava za Stambeno zbrinjavanje mladih obitelji, te pomoći osobama s invaliditetom i malignim bolestima.</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donacije (šifre 3821 do 3824)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256.330,27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107.437,20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41,9</w:t>
            </w:r>
          </w:p>
        </w:tc>
      </w:tr>
    </w:tbl>
    <w:p>
      <w:pPr>
        <w:spacing w:before="0" w:after="0"/>
      </w:pPr>
    </w:p>
    <w:p>
      <w:r>
        <w:t xml:space="preserve">Kapitalne donacije bilježe nagli pad s indeksom ostvarenja 41,9 jer je krajem 2024. godine završen kapitalni projekt izgradnje prostorija za NK Mladost za koji ne Općina sufinancirala izgradnju, pa u 2025. nije bilo takvih kapitalnih donacija.</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kreditnim i ostalim financijskim institucijama te trgovačkim društvima u javnom sektoru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101.421,65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2.429,67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w:t>
            </w:r>
          </w:p>
        </w:tc>
      </w:tr>
    </w:tbl>
    <w:p>
      <w:pPr>
        <w:spacing w:before="0" w:after="0"/>
      </w:pPr>
    </w:p>
    <w:p>
      <w:r>
        <w:t xml:space="preserve">Kapitalne pomoći kreditnim i ostalim financijskim društvima te trgovačkim društvima u javnom sektoru šifra 3861 bilježi pad u 2025. godini i indeks iznosi 2,4 jer Općina sudjeluje u projektu „Aglomeracija Koprivnica“ te sufinancira dio troškova projekta prema Trgovačkom društvu „Koprivničke vode d.d.“ koji su nositelj projekta, a kako je projekat završen krajem 2024. tako je i bilo i značajno manje troškova u 2025. godini.</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31.274,40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179.942,44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575,4</w:t>
            </w:r>
          </w:p>
        </w:tc>
      </w:tr>
    </w:tbl>
    <w:p>
      <w:pPr>
        <w:spacing w:before="0" w:after="0"/>
      </w:pPr>
    </w:p>
    <w:p>
      <w:r>
        <w:t xml:space="preserve">Obračunati prihodi poslovanja nenaplaćeni odnose se na neisplaćeno potraživanje po završnom podnesenom ZNS-u za Izgradnju Pješačke staze u sigecu u ul. I Berute i M. Gupca.</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14.601,00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2.575,00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17,6</w:t>
            </w:r>
          </w:p>
        </w:tc>
      </w:tr>
    </w:tbl>
    <w:p>
      <w:pPr>
        <w:spacing w:before="0" w:after="0"/>
      </w:pPr>
    </w:p>
    <w:p>
      <w:r>
        <w:t xml:space="preserve">Općina u 2025. godini nije raspisivala Javni poziv za prodaju nekretnina u vlasništvu Općine kao što je to bio slučaj u 2024. godini, već je izravnom pogodbom prodala 2 nekretnine u manjoj vrijednosti.</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727.334,83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2.653.936,12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364,9</w:t>
            </w:r>
          </w:p>
        </w:tc>
      </w:tr>
    </w:tbl>
    <w:p>
      <w:pPr>
        <w:spacing w:before="0" w:after="0"/>
      </w:pPr>
    </w:p>
    <w:p>
      <w:r>
        <w:t xml:space="preserve">Rashodi za nabavu nefinancijske imovine na šifri 4 bilježe povećanje troškova  u odnosu na isto razdoblje prethodne godine s indeksom ostvarenja 364,9 a sve sukladno planu za 2025. godinu i izvršenim radovima. Općina Peteranec u 2025. godini provodi velike kapitalne projekte, Izgradnja Kulturnog centra te izgradnje biciklističko-pješačkih staza.</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Poslovni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92.774,50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1.130.370,57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1218,4</w:t>
            </w:r>
          </w:p>
        </w:tc>
      </w:tr>
    </w:tbl>
    <w:p>
      <w:pPr>
        <w:spacing w:before="0" w:after="0"/>
      </w:pPr>
    </w:p>
    <w:p>
      <w:r>
        <w:t xml:space="preserve">Općina Peteranec ima veliki kapitalni projekt izgradnje Kulturnog centra/ Društvenog doma koji je trenutno u izgradnji pa sukladno planiranom je i indeks ostvarenja 1218,4</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Ceste, željeznice i ostali prometni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274.758,88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1.150.518,86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418,7</w:t>
            </w:r>
          </w:p>
        </w:tc>
      </w:tr>
    </w:tbl>
    <w:p>
      <w:pPr>
        <w:spacing w:before="0" w:after="0"/>
      </w:pPr>
    </w:p>
    <w:p>
      <w:r>
        <w:t xml:space="preserve">Općina Peteranec provodi projekte izgradnja biciklističko-pješačkih staza kroz naselja Peteranec i Sigetec pa sukladno tome je i indeks ostvarenja 418,7 ali sve sukladno planu za 2025. godinu</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Umjetnička, literarna i znanstvena djela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Općina Peteranec u 2025. godini pokrenula je izradu novog Prostornog plana Općine i sukladno Ugovoru dio trškova je fakturiran u 2025. a dio će biti u 2026. kad će Novi Plan biti i donesen.</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nematerijalna proizvedena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15.750,00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25.375,00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161,1</w:t>
            </w:r>
          </w:p>
        </w:tc>
      </w:tr>
    </w:tbl>
    <w:p>
      <w:pPr>
        <w:spacing w:before="0" w:after="0"/>
      </w:pPr>
    </w:p>
    <w:p>
      <w:r>
        <w:t xml:space="preserve">Ostala nematerijalna proizvedena imovina odnosi se na izradu projektantskih troškovnika i glavnih projekata za nadolazeće projekte koje Općina planira provoditi u 2026. godini.</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14.901,69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744.706,76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4997,5</w:t>
            </w:r>
          </w:p>
        </w:tc>
      </w:tr>
    </w:tbl>
    <w:p>
      <w:pPr>
        <w:spacing w:before="0" w:after="0"/>
      </w:pPr>
    </w:p>
    <w:p>
      <w:r>
        <w:t xml:space="preserve">Primici od financijske imovine i zaduživanja odnose se na Kratkoročni zajam banke koji je Općina bila primorana podići kako bi premostila razliku između priljeva Kapitalnih pomoći ostvarenih iz nacionalni i EU sredstva za kapitalne projekte koje provodi te podmirivanja obveze za iste tj. plaćanje izvođačima radova.</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18.632,52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322,0</w:t>
            </w:r>
          </w:p>
        </w:tc>
      </w:tr>
    </w:tbl>
    <w:p>
      <w:pPr>
        <w:spacing w:before="0" w:after="0"/>
      </w:pPr>
    </w:p>
    <w:p>
      <w:r>
        <w:t xml:space="preserve">Izdaci za financijsku imovinu i otplate zajmova šifra 5 bilježe indeks ostvarenja 322,0 a odnosi se na dio otplate primljenog kratkoročnog zajma.</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IMOVINA (šifre B002+1)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5.008.964,97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7.221.599,47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144,2</w:t>
            </w:r>
          </w:p>
        </w:tc>
      </w:tr>
    </w:tbl>
    <w:p>
      <w:pPr>
        <w:spacing w:before="0" w:after="0"/>
      </w:pPr>
    </w:p>
    <w:p>
      <w:r>
        <w:t xml:space="preserve">            U Bilancu su unijeta salda računa iz slijedećih razreda:</w:t>
      </w:r>
    </w:p>
    <w:p>
      <w:r>
        <w:t xml:space="preserve">-        0 – nefinancijska imovina (šifra B002) u iznosu……………..6.975.913,87 eura</w:t>
      </w:r>
    </w:p>
    <w:p>
      <w:r>
        <w:t xml:space="preserve">-        1 – financijska imovina (šifra 1) u iznosu………………….…..245.685,60 eura,</w:t>
      </w:r>
    </w:p>
    <w:p>
      <w:r>
        <w:t xml:space="preserve">-        2 – obveze (šifra 2)  u iznosu…...……………………………....1.307.995,73 eura,</w:t>
      </w:r>
    </w:p>
    <w:p>
      <w:r>
        <w:t xml:space="preserve">-        9 – vlastiti izvori (šifra 9)  u iznosu……….…………………..5.913.603,74 eura.</w:t>
      </w:r>
    </w:p>
    <w:p>
      <w:r>
        <w:t xml:space="preserve">Uz stanje Bilance na dan 31. prosinca za navedene račune prate se i salda na dan 01. siječnja.</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Nefinancijska imovina (šifre 01+02+03+04+05+06)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4.700.122,20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6.975.913,87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148,4</w:t>
            </w:r>
          </w:p>
        </w:tc>
      </w:tr>
    </w:tbl>
    <w:p>
      <w:pPr>
        <w:spacing w:before="0" w:after="0"/>
      </w:pPr>
    </w:p>
    <w:p>
      <w:r>
        <w:t xml:space="preserve">Iz izvještaja je vidljivo kako je stanje imovine bilježi rast  indeksa 148,4  po šifra B002 -   Nefinancijska imovina Na šifri 021 i 02921 Građevinski objekti bilježi se porast s indeksom ostvarenja 160,4, a sve sukladno Proračunu za 2025. godinu jer je u 2025. godini nastavljena gradnja Kulturnog/društvenog doma Peteranec, izgradnja Teniskog igrališta, izgradnje pješačko biciklističkih staza u naseljima Peteranec i Sigetec.</w:t>
      </w:r>
    </w:p>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Financijska imovina (šifre 11+12+13+14+15+16+17+19)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308.842,77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245.685,60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79,6</w:t>
            </w:r>
          </w:p>
        </w:tc>
      </w:tr>
    </w:tbl>
    <w:p>
      <w:pPr>
        <w:spacing w:before="0" w:after="0"/>
      </w:pPr>
    </w:p>
    <w:p>
      <w:r>
        <w:t xml:space="preserve">Od financijske imovine, veće odstupanje bilježi se na šifri 1112 Novac na računu kod tuzemnih poslovnih banaka gdje je indeks ostvarenja 9,3, a odnosi se na stanje na poslovnom računu. Odstupanje u odnosu na 2024. godinu odnosi se na velike troškove po kapitalnim projektima koji su se provodili u 2025. godini te su nastali veliki rashodi.</w:t>
      </w:r>
    </w:p>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(šifre 23+24+25+26+27+29)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136.233,40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1.307.995,73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960,1</w:t>
            </w:r>
          </w:p>
        </w:tc>
      </w:tr>
    </w:tbl>
    <w:p>
      <w:pPr>
        <w:spacing w:before="0" w:after="0"/>
      </w:pPr>
    </w:p>
    <w:p>
      <w:r>
        <w:t xml:space="preserve">Na skupini računa 2 – Obveze evidentiran je indeks od 657,3 u odnosu na stanje na početku godine. Značajno povećanje obveza rezultat je preuzimanja i evidentiranja obveza po zaprimljenim računima i situacijama za izvedene radove i usluge u izvještajnom razdoblju, kao i obveza vezanih uz provedbu velikih projekata i investicijskih aktivnosti.</w:t>
      </w:r>
    </w:p>
    <w:p>
      <w:r>
        <w:t xml:space="preserve">Dio obveza odnosi se na rashode koji dospijevaju na plaćanje u narednom razdoblju, te povećanje ne predstavlja dospjele nepodmirene obveze, već odražava dinamiku realizacije aktivnosti i ugovorenih poslova tijekom godine.</w:t>
      </w:r>
    </w:p>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materijalne rashode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26.216,47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40.539,01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154,6</w:t>
            </w:r>
          </w:p>
        </w:tc>
      </w:tr>
    </w:tbl>
    <w:p>
      <w:pPr>
        <w:spacing w:before="0" w:after="0"/>
      </w:pPr>
    </w:p>
    <w:p>
      <w:r>
        <w:t xml:space="preserve">Povećanje na obvezama  za materijalne rashode  koje bilježe povećanje s indeksom ostvarenja 154,6 na šifra 232, a sve sukladno Proračunu i već datim bilješkama u izvještaju PR-RAS vidljivog na kontima 32.</w:t>
      </w:r>
    </w:p>
    <w:p/>
    <w:p>
      <w:pPr>
        <w:jc w:val="center"/>
        <w:pStyle w:val="Normal"/>
        <w:spacing w:line="240" w:lineRule="auto"/>
        <w:keepNext/>
      </w:pPr>
      <w:r>
        <w:rPr>
          <w:sz w:val="28"/>
          <w:rFonts w:ascii="Times New Roman" w:hAnsi="Times New Roman"/>
        </w:rPr>
        <w:t xml:space="preserve">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nefinancijske imovine (šifre 241 do 245)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83.932,26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551.656,91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657,3</w:t>
            </w:r>
          </w:p>
        </w:tc>
      </w:tr>
    </w:tbl>
    <w:p>
      <w:pPr>
        <w:spacing w:before="0" w:after="0"/>
      </w:pPr>
    </w:p>
    <w:p>
      <w:r>
        <w:t xml:space="preserve">Na skupini računa 24 – Obveze za nabavu nefinancijske imovine iskazano je povećanje u odnosu na početak godine (indeks 657,3). Povećanje se odnosi na evidentirane obveze temeljem zaprimljenih računa i obračunskih situacija za nabavu i ulaganja u nefinancijsku imovinu u izvještajnom razdoblju, sukladno dinamici provedbe planiranih investicijskih aktivnosti, a koje su već navedene ranije, a to su izgradnja Kulturnog centra, Teniskog igrališta, pješačko biciklističkih staza u naseljima Peteranec i Sigetec.</w:t>
      </w:r>
    </w:p>
    <w:p/>
    <w:p>
      <w:pPr>
        <w:jc w:val="center"/>
        <w:pStyle w:val="Normal"/>
        <w:spacing w:line="240" w:lineRule="auto"/>
        <w:keepNext/>
      </w:pPr>
      <w:r>
        <w:rPr>
          <w:sz w:val="28"/>
          <w:rFonts w:ascii="Times New Roman" w:hAnsi="Times New Roman"/>
        </w:rPr>
        <w:t xml:space="preserve">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Vlastiti izvori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4.759.773,95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7.031.381,11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147,7</w:t>
            </w:r>
          </w:p>
        </w:tc>
      </w:tr>
    </w:tbl>
    <w:p>
      <w:pPr>
        <w:spacing w:before="0" w:after="0"/>
      </w:pPr>
    </w:p>
    <w:p>
      <w:r>
        <w:t xml:space="preserve">Na skupini računa 911 – Vlastiti izvori iskazano je povećanje u odnosu na početak godine (indeks 147,7). Promjena se odnosi na usklađenja izvora vlasništva s evidentiranim promjenama na nefinancijskoj imovini i rezultatima poslovanja u izvještajnom razdoblju, sukladno važećim propisima proračunskog računovodstva.</w:t>
      </w:r>
    </w:p>
    <w:p/>
    <w:p>
      <w:pPr>
        <w:jc w:val="center"/>
        <w:pStyle w:val="Normal"/>
        <w:spacing w:line="240" w:lineRule="auto"/>
        <w:keepNext/>
      </w:pPr>
      <w:r>
        <w:rPr>
          <w:sz w:val="28"/>
          <w:rFonts w:ascii="Times New Roman" w:hAnsi="Times New Roman"/>
        </w:rPr>
        <w:t xml:space="preserve">Bilješka 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81.683,22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-613.440,92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-751,0</w:t>
            </w:r>
          </w:p>
        </w:tc>
      </w:tr>
    </w:tbl>
    <w:p>
      <w:pPr>
        <w:spacing w:before="0" w:after="0"/>
      </w:pPr>
    </w:p>
    <w:p>
      <w:r>
        <w:t xml:space="preserve">Na skupini računa 922 – Rezultat poslovanja (višak/manjak) evidentirana je promjena u odnosu na početak godine (indeks -751,0). Iskazani manjak rezultat je odnosa ostvarenih prihoda i rashoda u izvještajnom razdoblju, pri čemu je realizacija rashoda, osobito vezanih uz provedbu planiranih aktivnosti i investicija, bila intenzivnija od ostvarenja prihoda u istom razdoblju.</w:t>
      </w:r>
    </w:p>
    <w:p>
      <w:r>
        <w:t xml:space="preserve">Navedeno odstupanje proizlazi iz vremenske neusklađenosti dinamike prihoda i rashoda te se očekuje uravnoteženje sljedeće proračunske godine.</w:t>
      </w:r>
    </w:p>
    <w:p/>
    <w:p>
      <w:pPr>
        <w:jc w:val="center"/>
        <w:pStyle w:val="Normal"/>
        <w:spacing w:line="240" w:lineRule="auto"/>
        <w:keepNext/>
      </w:pPr>
      <w:r>
        <w:rPr>
          <w:sz w:val="28"/>
          <w:rFonts w:ascii="Times New Roman" w:hAnsi="Times New Roman"/>
        </w:rPr>
        <w:t xml:space="preserve">Bilješka 46.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(šifre 961 do 963 + 964 do 968)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31.274,40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179.942,44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575,4</w:t>
            </w:r>
          </w:p>
        </w:tc>
      </w:tr>
    </w:tbl>
    <w:p>
      <w:pPr>
        <w:spacing w:before="0" w:after="0"/>
      </w:pPr>
    </w:p>
    <w:p>
      <w:r>
        <w:t xml:space="preserve">Na šifri 96 Obračunati rashodi poslovanja, indeks ostvarenja 575,4 jer se očekuje isplata u 2026. za potraživanje po završnom podnesenom ZNS-u na projektu Pješačke staze u Sigecu.</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47.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vrijednosti i obujmu imovine (šifre 91511+91512)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235.711,42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235.711,42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Promjena u vrijednosti i obujmu imovine šifra 9151 odnosi se na ispravak vrijednosti dugotrajne imovine.</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48.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504.218,94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Stanje dospjelih obveza na kraju izvještajnog razdoblja šifra V007 je 504.218,94 eura, te se odnosi na pristigle fakture za redovne rashode poslovanja, te troškove nefinancijske imovine tj. na fakture po privremenim ili okončanim situacijama za kapitalne projekte koji su trenutno u fazi provođenja. Općina Peteranec provodi više velikih kapitalnih projekata sufinanciranih iz nacionalnih izvora i izvora EU,  pa kako se sredstva kapitalnih pomoći malo duže čekaju za isplatu po ZNS-u tako su određene privremene i okončane situacije čekaju na naplatu do isplate sredstava pomoći. Nadamo se da smo ovim bilješkama pobliže objasnili razloge koji su doveli do stanja nedospjelih obveza na kraju izvještajnog razdoblja.</w:t>
      </w:r>
    </w:p>
    <w:p/>
    <w:p>
      <w:pPr>
        <w:jc w:val="center"/>
        <w:pStyle w:val="Normal"/>
        <w:spacing w:line="240" w:lineRule="auto"/>
        <w:keepNext/>
      </w:pPr>
      <w:r>
        <w:rPr>
          <w:sz w:val="28"/>
          <w:rFonts w:ascii="Times New Roman" w:hAnsi="Times New Roman"/>
        </w:rPr>
        <w:t xml:space="preserve">Bilješka 49.</w:t>
      </w:r>
    </w:p>
    <w:p>
      <w:pPr>
        <w:jc w:val="both"/>
        <w:pStyle w:val="Normal"/>
        <w:spacing w:line="240" w:lineRule="auto"/>
      </w:pPr>
      <w:r>
        <w:rPr>
          <w:b/>
          <w:sz w:val="24"/>
          <w:rFonts w:ascii="Times New Roman" w:hAnsi="Times New Roman"/>
        </w:rPr>
        <w:t xml:space="preserve">EU izvještaj</w:t>
      </w:r>
    </w:p>
    <w:p>
      <w:pPr>
        <w:jc w:val="both"/>
      </w:pPr>
      <w:r>
        <w:t xml:space="preserve">EU izvještaj podnesen je  za izvor financiranja 563 Europski fond za regionalni razvoj, a odnosi se na projekt ITU - Sigurno povezani, posredničko tijelo Ministarstva regionalnog razvoja i fondova Eu. Općina Peteranec na navedenom projektu ostvaila je bespovratna sredstva za izgradnju Pješačke staze u Sigecu u ul. I. Berute i M. Gupca. Projekt je završen u zadnjem tromjesečju 2025. godine, provedene se od strane kontrolnog tijela (SAFU) kontrole na licu mjesta te administrativne kontrole, te je podnesen u prosincu 2025. završni ZNS po projektu gdje se očekuje zadnja isplata, koja onda ukazuje na razliku između prihoda i rashoda te potraživanja koje se očekuju naplatiti početkom 2026. godine u podnesenom Izvještaju.</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4b87499011554693" /></Relationships>
</file>